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7C44" w14:textId="0ED4AA71" w:rsidR="00F70D1C" w:rsidRPr="00750D92" w:rsidRDefault="00750D92">
      <w:pPr>
        <w:rPr>
          <w:rFonts w:ascii="Verdana" w:hAnsi="Verdana"/>
          <w:b/>
          <w:bCs/>
          <w:sz w:val="20"/>
          <w:szCs w:val="20"/>
        </w:rPr>
      </w:pPr>
      <w:r w:rsidRPr="00750D92">
        <w:rPr>
          <w:rFonts w:ascii="Arial" w:hAnsi="Arial"/>
          <w:b/>
          <w:bCs/>
          <w:noProof/>
          <w:sz w:val="21"/>
        </w:rPr>
        <w:drawing>
          <wp:anchor distT="0" distB="0" distL="114300" distR="114300" simplePos="0" relativeHeight="251658752" behindDoc="0" locked="0" layoutInCell="1" allowOverlap="1" wp14:anchorId="030711D0" wp14:editId="38ADE5A8">
            <wp:simplePos x="0" y="0"/>
            <wp:positionH relativeFrom="column">
              <wp:posOffset>4695825</wp:posOffset>
            </wp:positionH>
            <wp:positionV relativeFrom="paragraph">
              <wp:posOffset>-695960</wp:posOffset>
            </wp:positionV>
            <wp:extent cx="866775" cy="86677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D1C" w:rsidRPr="00750D92">
        <w:rPr>
          <w:rFonts w:ascii="Verdana" w:hAnsi="Verdana"/>
          <w:b/>
          <w:bCs/>
          <w:sz w:val="20"/>
          <w:szCs w:val="20"/>
        </w:rPr>
        <w:t>Algemene Voorwaarden Christoffel Advocatuur</w:t>
      </w:r>
      <w:bookmarkStart w:id="0" w:name="_GoBack"/>
      <w:bookmarkEnd w:id="0"/>
    </w:p>
    <w:p w14:paraId="6E755B2B" w14:textId="27377DD4" w:rsidR="00F70D1C" w:rsidRPr="00750D92" w:rsidRDefault="00F70D1C">
      <w:pPr>
        <w:rPr>
          <w:rFonts w:ascii="Verdana" w:hAnsi="Verdana"/>
          <w:sz w:val="20"/>
          <w:szCs w:val="20"/>
        </w:rPr>
      </w:pPr>
    </w:p>
    <w:p w14:paraId="16E2F593" w14:textId="2D5CC862" w:rsidR="00F70D1C" w:rsidRPr="00750D92" w:rsidRDefault="00F70D1C" w:rsidP="00F70D1C">
      <w:pPr>
        <w:pStyle w:val="Lijstalinea"/>
        <w:numPr>
          <w:ilvl w:val="0"/>
          <w:numId w:val="1"/>
        </w:numPr>
        <w:rPr>
          <w:rFonts w:ascii="Verdana" w:hAnsi="Verdana"/>
          <w:sz w:val="20"/>
          <w:szCs w:val="20"/>
        </w:rPr>
      </w:pPr>
      <w:r w:rsidRPr="00750D92">
        <w:rPr>
          <w:rFonts w:ascii="Verdana" w:hAnsi="Verdana"/>
          <w:sz w:val="20"/>
          <w:szCs w:val="20"/>
        </w:rPr>
        <w:t>Christoffel Advocatuur is een eenmanszaak</w:t>
      </w:r>
      <w:r w:rsidR="00E103CF" w:rsidRPr="00750D92">
        <w:rPr>
          <w:rFonts w:ascii="Verdana" w:hAnsi="Verdana"/>
          <w:sz w:val="20"/>
          <w:szCs w:val="20"/>
        </w:rPr>
        <w:t>, gevestigd in Amsterdam</w:t>
      </w:r>
      <w:r w:rsidRPr="00750D92">
        <w:rPr>
          <w:rFonts w:ascii="Verdana" w:hAnsi="Verdana"/>
          <w:sz w:val="20"/>
          <w:szCs w:val="20"/>
        </w:rPr>
        <w:t xml:space="preserve">, opgericht naar Nederlands recht en heeft als doel het beoefenen van de advocatuur. Deze algemene voorwaarden zijn van toepassingen op de opdrachten die aan Christoffel Advocatuur worden verstrekt. De toepasselijkheid van </w:t>
      </w:r>
      <w:proofErr w:type="spellStart"/>
      <w:r w:rsidRPr="00750D92">
        <w:rPr>
          <w:rFonts w:ascii="Verdana" w:hAnsi="Verdana"/>
          <w:sz w:val="20"/>
          <w:szCs w:val="20"/>
        </w:rPr>
        <w:t>artt</w:t>
      </w:r>
      <w:proofErr w:type="spellEnd"/>
      <w:r w:rsidRPr="00750D92">
        <w:rPr>
          <w:rFonts w:ascii="Verdana" w:hAnsi="Verdana"/>
          <w:sz w:val="20"/>
          <w:szCs w:val="20"/>
        </w:rPr>
        <w:t xml:space="preserve">. 7:404 en 7:407 lid 2 BW is uitgesloten. De toepasselijkheid van andere algemene voorwaarden wordt van de hand gewezen. </w:t>
      </w:r>
      <w:r w:rsidR="00E103CF" w:rsidRPr="00750D92">
        <w:rPr>
          <w:rFonts w:ascii="Verdana" w:hAnsi="Verdana"/>
          <w:sz w:val="20"/>
          <w:szCs w:val="20"/>
        </w:rPr>
        <w:t xml:space="preserve">Christoffel Advocatuur verleent geen door de overheid gefinancierde rechtshulp. </w:t>
      </w:r>
    </w:p>
    <w:p w14:paraId="5EED152D" w14:textId="04DD791E" w:rsidR="00F70D1C" w:rsidRPr="00750D92" w:rsidRDefault="00F70D1C" w:rsidP="00F70D1C">
      <w:pPr>
        <w:pStyle w:val="Lijstalinea"/>
        <w:numPr>
          <w:ilvl w:val="0"/>
          <w:numId w:val="1"/>
        </w:numPr>
        <w:rPr>
          <w:rFonts w:ascii="Verdana" w:hAnsi="Verdana"/>
          <w:sz w:val="20"/>
          <w:szCs w:val="20"/>
        </w:rPr>
      </w:pPr>
      <w:r w:rsidRPr="00750D92">
        <w:rPr>
          <w:rFonts w:ascii="Verdana" w:hAnsi="Verdana"/>
          <w:sz w:val="20"/>
          <w:szCs w:val="20"/>
        </w:rPr>
        <w:t xml:space="preserve">Iedere aansprakelijkheid van Christoffel Advocatuur is beperkt tot het bedrag dat in voorkomend geval door de aansprakelijkheidsverzekering wordt uitgekeerd. Mocht de aansprakelijkheidsverzekering om welke reden dan ook niet uitkeren, dan is de aansprakelijkheid beperkt tot het in rekening gebrachte honorarium. Elke aanspraak vervalt indien Christoffel Advocatuur niet binnen zes maanden na ontdekking van de gebeurtenis of omstandigheid die de aanleiding vormt of kan vormen voor aansprakelijkheid schriftelijk op de hoogte is gesteld van de aanspraak. </w:t>
      </w:r>
    </w:p>
    <w:p w14:paraId="3F7C2234" w14:textId="1F2BB86B" w:rsidR="00F70D1C" w:rsidRPr="00750D92" w:rsidRDefault="00F70D1C" w:rsidP="00F70D1C">
      <w:pPr>
        <w:pStyle w:val="Lijstalinea"/>
        <w:numPr>
          <w:ilvl w:val="0"/>
          <w:numId w:val="1"/>
        </w:numPr>
        <w:rPr>
          <w:rFonts w:ascii="Verdana" w:hAnsi="Verdana"/>
          <w:sz w:val="20"/>
          <w:szCs w:val="20"/>
        </w:rPr>
      </w:pPr>
      <w:r w:rsidRPr="00750D92">
        <w:rPr>
          <w:rFonts w:ascii="Verdana" w:hAnsi="Verdana"/>
          <w:sz w:val="20"/>
          <w:szCs w:val="20"/>
        </w:rPr>
        <w:t xml:space="preserve">Christoffel </w:t>
      </w:r>
      <w:r w:rsidR="000A55DB" w:rsidRPr="00750D92">
        <w:rPr>
          <w:rFonts w:ascii="Verdana" w:hAnsi="Verdana"/>
          <w:sz w:val="20"/>
          <w:szCs w:val="20"/>
        </w:rPr>
        <w:t xml:space="preserve">Advocatuur </w:t>
      </w:r>
      <w:r w:rsidRPr="00750D92">
        <w:rPr>
          <w:rFonts w:ascii="Verdana" w:hAnsi="Verdana"/>
          <w:sz w:val="20"/>
          <w:szCs w:val="20"/>
        </w:rPr>
        <w:t>is gerechtigd om bij de uitvoering van de werkzaamheden derden in te schakelen.</w:t>
      </w:r>
      <w:r w:rsidR="000A55DB" w:rsidRPr="00750D92">
        <w:rPr>
          <w:rFonts w:ascii="Verdana" w:hAnsi="Verdana"/>
          <w:sz w:val="20"/>
          <w:szCs w:val="20"/>
        </w:rPr>
        <w:t xml:space="preserve"> Christoffel Advocatuur is niet aansprakelijk voor het handelen of nalaten van dergelijke derden. </w:t>
      </w:r>
    </w:p>
    <w:p w14:paraId="4BB7343A" w14:textId="77777777" w:rsidR="00E103CF" w:rsidRPr="00750D92" w:rsidRDefault="000A55DB" w:rsidP="00F70D1C">
      <w:pPr>
        <w:pStyle w:val="Lijstalinea"/>
        <w:numPr>
          <w:ilvl w:val="0"/>
          <w:numId w:val="1"/>
        </w:numPr>
        <w:rPr>
          <w:rFonts w:ascii="Verdana" w:hAnsi="Verdana"/>
          <w:sz w:val="20"/>
          <w:szCs w:val="20"/>
        </w:rPr>
      </w:pPr>
      <w:r w:rsidRPr="00750D92">
        <w:rPr>
          <w:rFonts w:ascii="Verdana" w:hAnsi="Verdana"/>
          <w:sz w:val="20"/>
          <w:szCs w:val="20"/>
        </w:rPr>
        <w:t xml:space="preserve">Als waarnemers zijn in voorkomende gevallen aangewezen: mr. B.P.C. Bijl (Spee &amp; Bijl Advocatuur), gevestigd aan De </w:t>
      </w:r>
      <w:proofErr w:type="spellStart"/>
      <w:r w:rsidRPr="00750D92">
        <w:rPr>
          <w:rFonts w:ascii="Verdana" w:hAnsi="Verdana"/>
          <w:sz w:val="20"/>
          <w:szCs w:val="20"/>
        </w:rPr>
        <w:t>Lairessestraat</w:t>
      </w:r>
      <w:proofErr w:type="spellEnd"/>
      <w:r w:rsidRPr="00750D92">
        <w:rPr>
          <w:rFonts w:ascii="Verdana" w:hAnsi="Verdana"/>
          <w:sz w:val="20"/>
          <w:szCs w:val="20"/>
        </w:rPr>
        <w:t xml:space="preserve"> 137-143, 1075 HJ Amsterdam,</w:t>
      </w:r>
      <w:r w:rsidR="00E103CF" w:rsidRPr="00750D92">
        <w:rPr>
          <w:rFonts w:ascii="Verdana" w:hAnsi="Verdana"/>
          <w:sz w:val="20"/>
          <w:szCs w:val="20"/>
        </w:rPr>
        <w:t xml:space="preserve"> </w:t>
      </w:r>
      <w:hyperlink r:id="rId6" w:history="1">
        <w:r w:rsidR="00E103CF" w:rsidRPr="00750D92">
          <w:rPr>
            <w:rStyle w:val="Hyperlink"/>
            <w:rFonts w:ascii="Verdana" w:hAnsi="Verdana"/>
            <w:sz w:val="20"/>
            <w:szCs w:val="20"/>
          </w:rPr>
          <w:t>bijl@spee-bijl.com</w:t>
        </w:r>
      </w:hyperlink>
      <w:r w:rsidR="00E103CF" w:rsidRPr="00750D92">
        <w:rPr>
          <w:rFonts w:ascii="Verdana" w:hAnsi="Verdana"/>
          <w:sz w:val="20"/>
          <w:szCs w:val="20"/>
        </w:rPr>
        <w:t>)</w:t>
      </w:r>
      <w:r w:rsidRPr="00750D92">
        <w:rPr>
          <w:rFonts w:ascii="Verdana" w:hAnsi="Verdana"/>
          <w:sz w:val="20"/>
          <w:szCs w:val="20"/>
        </w:rPr>
        <w:t xml:space="preserve"> en mr. A.A.M. Reijns (</w:t>
      </w:r>
      <w:proofErr w:type="spellStart"/>
      <w:r w:rsidRPr="00750D92">
        <w:rPr>
          <w:rFonts w:ascii="Verdana" w:hAnsi="Verdana"/>
          <w:sz w:val="20"/>
          <w:szCs w:val="20"/>
        </w:rPr>
        <w:t>Pinsent</w:t>
      </w:r>
      <w:proofErr w:type="spellEnd"/>
      <w:r w:rsidRPr="00750D92">
        <w:rPr>
          <w:rFonts w:ascii="Verdana" w:hAnsi="Verdana"/>
          <w:sz w:val="20"/>
          <w:szCs w:val="20"/>
        </w:rPr>
        <w:t xml:space="preserve"> Masons, </w:t>
      </w:r>
      <w:r w:rsidR="00E103CF" w:rsidRPr="00750D92">
        <w:rPr>
          <w:rFonts w:ascii="Verdana" w:hAnsi="Verdana"/>
          <w:sz w:val="20"/>
          <w:szCs w:val="20"/>
        </w:rPr>
        <w:t xml:space="preserve">Trompenburgstraat 2c, 1097 TX Amsterdam, </w:t>
      </w:r>
      <w:hyperlink r:id="rId7" w:history="1">
        <w:r w:rsidR="00E103CF" w:rsidRPr="00750D92">
          <w:rPr>
            <w:rStyle w:val="Hyperlink"/>
            <w:rFonts w:ascii="Verdana" w:hAnsi="Verdana"/>
            <w:sz w:val="20"/>
            <w:szCs w:val="20"/>
          </w:rPr>
          <w:t>arjan.reijns@pinsentmasons.com</w:t>
        </w:r>
      </w:hyperlink>
      <w:r w:rsidR="00E103CF" w:rsidRPr="00750D92">
        <w:rPr>
          <w:rFonts w:ascii="Verdana" w:hAnsi="Verdana"/>
          <w:sz w:val="20"/>
          <w:szCs w:val="20"/>
        </w:rPr>
        <w:t>).</w:t>
      </w:r>
    </w:p>
    <w:p w14:paraId="0DF08636" w14:textId="77777777" w:rsidR="00E103CF" w:rsidRPr="00750D92" w:rsidRDefault="00E103CF" w:rsidP="00F70D1C">
      <w:pPr>
        <w:pStyle w:val="Lijstalinea"/>
        <w:numPr>
          <w:ilvl w:val="0"/>
          <w:numId w:val="1"/>
        </w:numPr>
        <w:rPr>
          <w:rFonts w:ascii="Verdana" w:hAnsi="Verdana"/>
          <w:sz w:val="20"/>
          <w:szCs w:val="20"/>
        </w:rPr>
      </w:pPr>
      <w:r w:rsidRPr="00750D92">
        <w:rPr>
          <w:rFonts w:ascii="Verdana" w:hAnsi="Verdana"/>
          <w:sz w:val="20"/>
          <w:szCs w:val="20"/>
        </w:rPr>
        <w:t xml:space="preserve">Christoffel Advocatuur beheert geen derdengelden en beschikt dus niet over een stichting derdengelden. </w:t>
      </w:r>
    </w:p>
    <w:p w14:paraId="6FDD4EC8" w14:textId="23228375" w:rsidR="00E103CF" w:rsidRPr="00750D92" w:rsidRDefault="0024356F" w:rsidP="00F70D1C">
      <w:pPr>
        <w:pStyle w:val="Lijstalinea"/>
        <w:numPr>
          <w:ilvl w:val="0"/>
          <w:numId w:val="1"/>
        </w:numPr>
        <w:rPr>
          <w:rFonts w:ascii="Verdana" w:hAnsi="Verdana"/>
          <w:sz w:val="20"/>
          <w:szCs w:val="20"/>
        </w:rPr>
      </w:pPr>
      <w:r w:rsidRPr="00750D92">
        <w:rPr>
          <w:rFonts w:ascii="Verdana" w:hAnsi="Verdana"/>
          <w:sz w:val="20"/>
          <w:szCs w:val="20"/>
        </w:rPr>
        <w:t xml:space="preserve">Met betrekking tot door Christoffel Advocatuur uitgevoerde werkzaamheden is cliënt honorarium plus btw en eventuele verschotten verschuldigd. Kantoorkosten worden niet in rekening gebracht. Het honorarium zal – tenzij anders overeengekomen – worden berekend aan de hand van het aantal gewerkte uren vermenigvuldigd met het door Christoffel Advocatuur vast te stellen uurtarief. In beginsel worden werkzaamheden maandelijks in rekening gebracht, met een betalingstermijn van 14 dagen gerekend vanaf de factuurdatum die op de factuur is vermeld. Bij gebreke van betaling binnen die termijn kan Christoffel Advocatuur de wettelijke rente in rekening brengen. Christoffel Advocatuur kan een voorschot in rekening brengen. </w:t>
      </w:r>
    </w:p>
    <w:p w14:paraId="2DBF4F40" w14:textId="38031611" w:rsidR="0024356F" w:rsidRPr="00750D92" w:rsidRDefault="0024356F" w:rsidP="00F70D1C">
      <w:pPr>
        <w:pStyle w:val="Lijstalinea"/>
        <w:numPr>
          <w:ilvl w:val="0"/>
          <w:numId w:val="1"/>
        </w:numPr>
        <w:rPr>
          <w:rFonts w:ascii="Verdana" w:hAnsi="Verdana"/>
          <w:sz w:val="20"/>
          <w:szCs w:val="20"/>
        </w:rPr>
      </w:pPr>
      <w:r w:rsidRPr="00750D92">
        <w:rPr>
          <w:rFonts w:ascii="Verdana" w:hAnsi="Verdana"/>
          <w:sz w:val="20"/>
          <w:szCs w:val="20"/>
        </w:rPr>
        <w:t xml:space="preserve">Deze algemene voorwaarden zijn bedongen voor Christoffel Advocatuur, maar ook ten behoeve van alle bij haar werkzame advocaten en andere medewerkers, dan wel derden die door Christoffel Advocatuur zijn ingeschakeld. </w:t>
      </w:r>
    </w:p>
    <w:p w14:paraId="039AEE92" w14:textId="130B7166" w:rsidR="0024356F" w:rsidRPr="00750D92" w:rsidRDefault="0024356F" w:rsidP="00F70D1C">
      <w:pPr>
        <w:pStyle w:val="Lijstalinea"/>
        <w:numPr>
          <w:ilvl w:val="0"/>
          <w:numId w:val="1"/>
        </w:numPr>
        <w:rPr>
          <w:rFonts w:ascii="Verdana" w:hAnsi="Verdana"/>
          <w:sz w:val="20"/>
          <w:szCs w:val="20"/>
        </w:rPr>
      </w:pPr>
      <w:r w:rsidRPr="00CC7484">
        <w:rPr>
          <w:rFonts w:ascii="Verdana" w:hAnsi="Verdana"/>
          <w:sz w:val="20"/>
          <w:szCs w:val="20"/>
        </w:rPr>
        <w:t xml:space="preserve">Deze algemene voorwaarden en de rechtsverhouding tussen Christoffel Advocatuur en haar cliënten worden beheerst door Nederlands recht. </w:t>
      </w:r>
      <w:r w:rsidR="00750D92" w:rsidRPr="00CC7484">
        <w:rPr>
          <w:rFonts w:ascii="Verdana" w:hAnsi="Verdana"/>
          <w:sz w:val="20"/>
          <w:szCs w:val="20"/>
        </w:rPr>
        <w:t xml:space="preserve">Eventuele geschillen worden voorgelegd aan de bevoegde rechter van de rechtbank Amsterdam. </w:t>
      </w:r>
    </w:p>
    <w:sectPr w:rsidR="0024356F" w:rsidRPr="00750D92" w:rsidSect="006C2E18">
      <w:type w:val="continuous"/>
      <w:pgSz w:w="11907" w:h="16840" w:code="9"/>
      <w:pgMar w:top="1985" w:right="1985" w:bottom="1843" w:left="1559" w:header="709" w:footer="1134" w:gutter="0"/>
      <w:paperSrc w:first="7" w:other="7"/>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C1A4D"/>
    <w:multiLevelType w:val="hybridMultilevel"/>
    <w:tmpl w:val="3188B7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239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5"/>
  <w:drawingGridVerticalSpacing w:val="14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0D1C"/>
    <w:rsid w:val="000A55DB"/>
    <w:rsid w:val="0024356F"/>
    <w:rsid w:val="006C2E18"/>
    <w:rsid w:val="00750D92"/>
    <w:rsid w:val="00954D79"/>
    <w:rsid w:val="00CC7484"/>
    <w:rsid w:val="00E103CF"/>
    <w:rsid w:val="00E2497E"/>
    <w:rsid w:val="00F70D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AB30"/>
  <w15:chartTrackingRefBased/>
  <w15:docId w15:val="{465D3FE8-512B-4262-893A-1FFB7B6A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0" w:lineRule="exact"/>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0D1C"/>
    <w:pPr>
      <w:ind w:left="720"/>
      <w:contextualSpacing/>
    </w:pPr>
  </w:style>
  <w:style w:type="character" w:styleId="Hyperlink">
    <w:name w:val="Hyperlink"/>
    <w:basedOn w:val="Standaardalinea-lettertype"/>
    <w:uiPriority w:val="99"/>
    <w:unhideWhenUsed/>
    <w:rsid w:val="000A55DB"/>
    <w:rPr>
      <w:color w:val="0000FF" w:themeColor="hyperlink"/>
      <w:u w:val="single"/>
    </w:rPr>
  </w:style>
  <w:style w:type="character" w:styleId="Onopgelostemelding">
    <w:name w:val="Unresolved Mention"/>
    <w:basedOn w:val="Standaardalinea-lettertype"/>
    <w:uiPriority w:val="99"/>
    <w:semiHidden/>
    <w:unhideWhenUsed/>
    <w:rsid w:val="000A5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jan.reijns@pinsentmas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jl@spee-bij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454</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Tjerk Sigterman</dc:creator>
  <cp:keywords/>
  <dc:description/>
  <cp:lastModifiedBy>Tjerk Sigterman</cp:lastModifiedBy>
  <cp:revision>1</cp:revision>
  <dcterms:created xsi:type="dcterms:W3CDTF">2022-12-29T10:50:00Z</dcterms:created>
  <dcterms:modified xsi:type="dcterms:W3CDTF">2022-12-29T11:11:00Z</dcterms:modified>
</cp:coreProperties>
</file>